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AB0">
        <w:rPr>
          <w:rFonts w:ascii="Times New Roman" w:hAnsi="Times New Roman" w:cs="Times New Roman"/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AB0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AB0">
        <w:rPr>
          <w:rFonts w:ascii="Times New Roman" w:hAnsi="Times New Roman" w:cs="Times New Roman"/>
          <w:b/>
          <w:caps/>
          <w:sz w:val="28"/>
          <w:szCs w:val="28"/>
        </w:rPr>
        <w:t>Екимовичского сельского поселения</w:t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caps/>
        </w:rPr>
      </w:pPr>
      <w:r w:rsidRPr="003E2AB0">
        <w:rPr>
          <w:rFonts w:ascii="Times New Roman" w:hAnsi="Times New Roman" w:cs="Times New Roman"/>
          <w:b/>
          <w:caps/>
          <w:sz w:val="28"/>
          <w:szCs w:val="28"/>
        </w:rPr>
        <w:t>РОСЛАВЛЬСКОГО РАЙОНА СМОЛЕНСКОЙ ОБЛАСТИ</w:t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2AB0" w:rsidRPr="003E2AB0" w:rsidRDefault="003E2AB0" w:rsidP="003E2AB0">
      <w:pPr>
        <w:spacing w:line="20" w:lineRule="atLeast"/>
        <w:ind w:right="5649"/>
        <w:contextualSpacing/>
        <w:rPr>
          <w:rFonts w:ascii="Times New Roman" w:hAnsi="Times New Roman" w:cs="Times New Roman"/>
        </w:rPr>
      </w:pPr>
    </w:p>
    <w:p w:rsidR="003E2AB0" w:rsidRPr="003E2AB0" w:rsidRDefault="003E2AB0" w:rsidP="003E2AB0">
      <w:pPr>
        <w:spacing w:line="20" w:lineRule="atLeast"/>
        <w:ind w:right="5649"/>
        <w:contextualSpacing/>
        <w:rPr>
          <w:rFonts w:ascii="Times New Roman" w:hAnsi="Times New Roman" w:cs="Times New Roman"/>
        </w:rPr>
      </w:pPr>
    </w:p>
    <w:p w:rsidR="003E2AB0" w:rsidRPr="003E2AB0" w:rsidRDefault="003E2AB0" w:rsidP="00BE2EC1">
      <w:pPr>
        <w:spacing w:line="20" w:lineRule="atLeast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2A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AB0">
        <w:rPr>
          <w:rFonts w:ascii="Times New Roman" w:hAnsi="Times New Roman" w:cs="Times New Roman"/>
          <w:sz w:val="28"/>
          <w:szCs w:val="28"/>
        </w:rPr>
        <w:t>0</w:t>
      </w:r>
      <w:r w:rsidR="00A24CA1">
        <w:rPr>
          <w:rFonts w:ascii="Times New Roman" w:hAnsi="Times New Roman" w:cs="Times New Roman"/>
          <w:sz w:val="28"/>
          <w:szCs w:val="28"/>
        </w:rPr>
        <w:t>3.03</w:t>
      </w:r>
      <w:r w:rsidRPr="003E2AB0">
        <w:rPr>
          <w:rFonts w:ascii="Times New Roman" w:hAnsi="Times New Roman" w:cs="Times New Roman"/>
          <w:sz w:val="28"/>
          <w:szCs w:val="28"/>
        </w:rPr>
        <w:t>.20</w:t>
      </w:r>
      <w:r w:rsidR="00A24CA1">
        <w:rPr>
          <w:rFonts w:ascii="Times New Roman" w:hAnsi="Times New Roman" w:cs="Times New Roman"/>
          <w:sz w:val="28"/>
          <w:szCs w:val="28"/>
        </w:rPr>
        <w:t xml:space="preserve">20 </w:t>
      </w:r>
      <w:r w:rsidRPr="003E2AB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E2AB0">
        <w:rPr>
          <w:rFonts w:ascii="Times New Roman" w:hAnsi="Times New Roman" w:cs="Times New Roman"/>
          <w:sz w:val="28"/>
          <w:szCs w:val="28"/>
        </w:rPr>
        <w:t xml:space="preserve">№ </w:t>
      </w:r>
      <w:r w:rsidR="00A24C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E2AB0" w:rsidRDefault="003E2AB0" w:rsidP="003E2AB0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A1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3E2AB0" w:rsidRDefault="003E2AB0" w:rsidP="003E2AB0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  пожаротушения   в    местах</w:t>
      </w:r>
    </w:p>
    <w:p w:rsidR="003E2AB0" w:rsidRDefault="003E2AB0" w:rsidP="003E2AB0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         </w:t>
      </w:r>
      <w:r w:rsidR="00A1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пользования</w:t>
      </w:r>
    </w:p>
    <w:p w:rsidR="003E2AB0" w:rsidRPr="003E2AB0" w:rsidRDefault="003E2AB0" w:rsidP="003E2AB0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3E2AB0" w:rsidRPr="003E2AB0" w:rsidRDefault="003E2AB0" w:rsidP="003E2AB0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AB0" w:rsidRPr="003E2AB0" w:rsidRDefault="003E2AB0" w:rsidP="00A24CA1">
      <w:pPr>
        <w:pStyle w:val="ConsNormal"/>
        <w:widowControl/>
        <w:spacing w:line="20" w:lineRule="atLeast"/>
        <w:ind w:right="-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AB0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федеральных законов «О пожарной безопасности» и «Об общих принципах организации местного самоуправления в Российской Федерации» в части обеспечения первичных мер пожарной безопасности в границах населенных пунктов</w:t>
      </w:r>
      <w:r w:rsidRPr="003E2A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E2AB0">
        <w:rPr>
          <w:rFonts w:ascii="Times New Roman" w:hAnsi="Times New Roman" w:cs="Times New Roman"/>
          <w:sz w:val="28"/>
          <w:szCs w:val="28"/>
        </w:rPr>
        <w:t>предупреждения пожаров и уменьшения последствий от них, а также сохранения жизни и здоровья граждан на подведомственной территории от пожаров</w:t>
      </w:r>
      <w:r w:rsidR="00BE2EC1">
        <w:rPr>
          <w:rFonts w:ascii="Times New Roman" w:hAnsi="Times New Roman" w:cs="Times New Roman"/>
          <w:sz w:val="28"/>
          <w:szCs w:val="28"/>
        </w:rPr>
        <w:t xml:space="preserve">, </w:t>
      </w:r>
      <w:r w:rsidRPr="003E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A1" w:rsidRDefault="00A24CA1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AB0" w:rsidRDefault="003E2AB0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AB0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536491" w:rsidRPr="003E2AB0" w:rsidRDefault="00536491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3E2AB0" w:rsidRPr="003E2AB0" w:rsidRDefault="003E2AB0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E2AB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2AB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2A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2AB0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3E2AB0" w:rsidRPr="003E2AB0" w:rsidRDefault="003E2AB0" w:rsidP="003E2AB0">
      <w:pPr>
        <w:pStyle w:val="ConsNormal"/>
        <w:widowControl/>
        <w:spacing w:line="20" w:lineRule="atLeast"/>
        <w:ind w:right="-50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AB0" w:rsidRDefault="003E2AB0" w:rsidP="003E2AB0">
      <w:pPr>
        <w:spacing w:line="20" w:lineRule="atLeast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AB0">
        <w:rPr>
          <w:rFonts w:ascii="Times New Roman" w:hAnsi="Times New Roman" w:cs="Times New Roman"/>
          <w:sz w:val="28"/>
          <w:szCs w:val="28"/>
        </w:rPr>
        <w:t>1.Утвердить:</w:t>
      </w:r>
    </w:p>
    <w:p w:rsidR="003F0FBD" w:rsidRPr="003E2AB0" w:rsidRDefault="003F0FBD" w:rsidP="003E2AB0">
      <w:pPr>
        <w:spacing w:line="20" w:lineRule="atLeast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Примерный перечень первичных средств пожаротушения и противопожарного инвентаря для помещений и строений, принадлежащих  гражданам согласно Приложению № 1.</w:t>
      </w:r>
    </w:p>
    <w:p w:rsidR="003E2AB0" w:rsidRDefault="003E2AB0" w:rsidP="00536491">
      <w:pPr>
        <w:spacing w:line="20" w:lineRule="atLeast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AB0">
        <w:rPr>
          <w:rFonts w:ascii="Times New Roman" w:hAnsi="Times New Roman" w:cs="Times New Roman"/>
          <w:sz w:val="28"/>
          <w:szCs w:val="28"/>
        </w:rPr>
        <w:t>1.</w:t>
      </w:r>
      <w:r w:rsidR="00452218">
        <w:rPr>
          <w:rFonts w:ascii="Times New Roman" w:hAnsi="Times New Roman" w:cs="Times New Roman"/>
          <w:sz w:val="28"/>
          <w:szCs w:val="28"/>
        </w:rPr>
        <w:t>2</w:t>
      </w:r>
      <w:r w:rsidRPr="003E2AB0">
        <w:rPr>
          <w:rFonts w:ascii="Times New Roman" w:hAnsi="Times New Roman" w:cs="Times New Roman"/>
          <w:sz w:val="28"/>
          <w:szCs w:val="28"/>
        </w:rPr>
        <w:t xml:space="preserve">. </w:t>
      </w:r>
      <w:r w:rsidR="00A0759E">
        <w:rPr>
          <w:rFonts w:ascii="Times New Roman" w:hAnsi="Times New Roman" w:cs="Times New Roman"/>
          <w:sz w:val="28"/>
          <w:szCs w:val="28"/>
        </w:rPr>
        <w:t>П</w:t>
      </w:r>
      <w:r w:rsidR="00536491">
        <w:rPr>
          <w:rFonts w:ascii="Times New Roman" w:hAnsi="Times New Roman" w:cs="Times New Roman"/>
          <w:sz w:val="28"/>
          <w:szCs w:val="28"/>
        </w:rPr>
        <w:t>ереч</w:t>
      </w:r>
      <w:r w:rsidR="003F0FBD">
        <w:rPr>
          <w:rFonts w:ascii="Times New Roman" w:hAnsi="Times New Roman" w:cs="Times New Roman"/>
          <w:sz w:val="28"/>
          <w:szCs w:val="28"/>
        </w:rPr>
        <w:t>е</w:t>
      </w:r>
      <w:r w:rsidR="00536491">
        <w:rPr>
          <w:rFonts w:ascii="Times New Roman" w:hAnsi="Times New Roman" w:cs="Times New Roman"/>
          <w:sz w:val="28"/>
          <w:szCs w:val="28"/>
        </w:rPr>
        <w:t>н</w:t>
      </w:r>
      <w:r w:rsidR="00A0759E">
        <w:rPr>
          <w:rFonts w:ascii="Times New Roman" w:hAnsi="Times New Roman" w:cs="Times New Roman"/>
          <w:sz w:val="28"/>
          <w:szCs w:val="28"/>
        </w:rPr>
        <w:t>ь</w:t>
      </w:r>
      <w:r w:rsidRPr="003E2AB0">
        <w:rPr>
          <w:rFonts w:ascii="Times New Roman" w:hAnsi="Times New Roman" w:cs="Times New Roman"/>
          <w:sz w:val="28"/>
          <w:szCs w:val="28"/>
        </w:rPr>
        <w:t xml:space="preserve"> </w:t>
      </w:r>
      <w:r w:rsidR="00536491">
        <w:rPr>
          <w:rFonts w:ascii="Times New Roman" w:hAnsi="Times New Roman" w:cs="Times New Roman"/>
          <w:sz w:val="28"/>
          <w:szCs w:val="28"/>
        </w:rPr>
        <w:t>первичных средств пожаротушения в местах общественного пользования населенных пунктов</w:t>
      </w:r>
      <w:r w:rsidR="003F0FBD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536491">
        <w:rPr>
          <w:rFonts w:ascii="Times New Roman" w:hAnsi="Times New Roman" w:cs="Times New Roman"/>
          <w:sz w:val="28"/>
          <w:szCs w:val="28"/>
        </w:rPr>
        <w:t>.</w:t>
      </w:r>
    </w:p>
    <w:p w:rsidR="00A24CA1" w:rsidRPr="008E5B2D" w:rsidRDefault="00A24CA1" w:rsidP="00A24CA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E5B2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8E5B2D">
        <w:rPr>
          <w:rFonts w:ascii="Times New Roman" w:hAnsi="Times New Roman" w:cs="Times New Roman"/>
          <w:sz w:val="28"/>
          <w:szCs w:val="28"/>
        </w:rPr>
        <w:t>Администрации Екимовичского сельского поселения Рославльского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04.05.2017 </w:t>
      </w:r>
      <w:r w:rsidRPr="008E5B2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  <w:r w:rsidRPr="008E5B2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пунктов» считать утратившим силу.</w:t>
      </w:r>
    </w:p>
    <w:p w:rsidR="003E2AB0" w:rsidRPr="003E2AB0" w:rsidRDefault="00A24CA1" w:rsidP="00A24CA1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 </w:t>
      </w:r>
      <w:proofErr w:type="gramStart"/>
      <w:r w:rsidR="003E2AB0" w:rsidRPr="003E2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2AB0" w:rsidRPr="003E2A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AB0" w:rsidRPr="003E2AB0" w:rsidRDefault="003E2AB0" w:rsidP="003E2AB0">
      <w:pPr>
        <w:spacing w:line="20" w:lineRule="atLeast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AB0" w:rsidRPr="003E2AB0" w:rsidRDefault="003E2AB0" w:rsidP="00A24CA1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AB0" w:rsidRDefault="003E2AB0" w:rsidP="003E2AB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AB0">
        <w:rPr>
          <w:rFonts w:ascii="Times New Roman" w:hAnsi="Times New Roman" w:cs="Times New Roman"/>
          <w:sz w:val="28"/>
          <w:szCs w:val="28"/>
        </w:rPr>
        <w:t>Глав</w:t>
      </w:r>
      <w:r w:rsidR="00A24CA1">
        <w:rPr>
          <w:rFonts w:ascii="Times New Roman" w:hAnsi="Times New Roman" w:cs="Times New Roman"/>
          <w:sz w:val="28"/>
          <w:szCs w:val="28"/>
        </w:rPr>
        <w:t>а</w:t>
      </w:r>
      <w:r w:rsidRPr="003E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E2AB0" w:rsidRDefault="003E2AB0" w:rsidP="003E2AB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3E2AB0" w:rsidRDefault="003E2AB0" w:rsidP="00A24CA1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</w:t>
      </w:r>
      <w:r w:rsidR="00A24C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CA1">
        <w:rPr>
          <w:rFonts w:ascii="Times New Roman" w:hAnsi="Times New Roman" w:cs="Times New Roman"/>
          <w:sz w:val="28"/>
          <w:szCs w:val="28"/>
        </w:rPr>
        <w:t xml:space="preserve"> В.Ф.Тюрин</w:t>
      </w:r>
    </w:p>
    <w:p w:rsidR="00BE2EC1" w:rsidRPr="0014400E" w:rsidRDefault="00BE2EC1" w:rsidP="00BE2EC1">
      <w:pPr>
        <w:pStyle w:val="consplustitle"/>
        <w:ind w:left="5041"/>
        <w:contextualSpacing/>
        <w:jc w:val="center"/>
        <w:rPr>
          <w:sz w:val="28"/>
          <w:szCs w:val="28"/>
        </w:rPr>
      </w:pPr>
      <w:r w:rsidRPr="0014400E">
        <w:rPr>
          <w:sz w:val="28"/>
          <w:szCs w:val="28"/>
        </w:rPr>
        <w:lastRenderedPageBreak/>
        <w:t xml:space="preserve">Приложение </w:t>
      </w:r>
      <w:r w:rsidR="003F0FBD">
        <w:rPr>
          <w:sz w:val="28"/>
          <w:szCs w:val="28"/>
        </w:rPr>
        <w:t>№ 1</w:t>
      </w:r>
    </w:p>
    <w:p w:rsidR="00BE2EC1" w:rsidRDefault="00BE2EC1" w:rsidP="00BE2EC1">
      <w:pPr>
        <w:pStyle w:val="consplustitle"/>
        <w:ind w:left="5041"/>
        <w:contextualSpacing/>
        <w:jc w:val="both"/>
        <w:rPr>
          <w:sz w:val="28"/>
          <w:szCs w:val="28"/>
        </w:rPr>
      </w:pPr>
      <w:r w:rsidRPr="0014400E">
        <w:rPr>
          <w:sz w:val="28"/>
          <w:szCs w:val="28"/>
        </w:rPr>
        <w:t xml:space="preserve">к постановлению Администрации    Екимовичского сельского поселения Рославльского района Смоленской области </w:t>
      </w:r>
    </w:p>
    <w:p w:rsidR="00BE2EC1" w:rsidRPr="0014400E" w:rsidRDefault="00BE2EC1" w:rsidP="00BE2EC1">
      <w:pPr>
        <w:pStyle w:val="consplustitle"/>
        <w:ind w:left="5041"/>
        <w:contextualSpacing/>
        <w:jc w:val="both"/>
        <w:rPr>
          <w:sz w:val="28"/>
          <w:szCs w:val="28"/>
        </w:rPr>
      </w:pPr>
      <w:r w:rsidRPr="0014400E">
        <w:rPr>
          <w:sz w:val="28"/>
          <w:szCs w:val="28"/>
        </w:rPr>
        <w:t xml:space="preserve">от </w:t>
      </w:r>
      <w:r w:rsidR="00A24CA1">
        <w:rPr>
          <w:sz w:val="28"/>
          <w:szCs w:val="28"/>
        </w:rPr>
        <w:t>03</w:t>
      </w:r>
      <w:r w:rsidRPr="0014400E">
        <w:rPr>
          <w:sz w:val="28"/>
          <w:szCs w:val="28"/>
        </w:rPr>
        <w:t>.0</w:t>
      </w:r>
      <w:r w:rsidR="00A24CA1">
        <w:rPr>
          <w:sz w:val="28"/>
          <w:szCs w:val="28"/>
        </w:rPr>
        <w:t>3.2020</w:t>
      </w:r>
      <w:r w:rsidRPr="0014400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14400E">
        <w:rPr>
          <w:sz w:val="28"/>
          <w:szCs w:val="28"/>
        </w:rPr>
        <w:t xml:space="preserve">№ </w:t>
      </w:r>
      <w:r w:rsidR="00A24CA1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C72001" w:rsidRPr="00C72001" w:rsidRDefault="00C72001" w:rsidP="00C72001">
      <w:pPr>
        <w:pStyle w:val="ConsNormal"/>
        <w:widowControl/>
        <w:spacing w:line="2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01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C72001" w:rsidRPr="00C72001" w:rsidRDefault="00C72001" w:rsidP="00C72001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01">
        <w:rPr>
          <w:rFonts w:ascii="Times New Roman" w:hAnsi="Times New Roman" w:cs="Times New Roman"/>
          <w:b/>
          <w:sz w:val="28"/>
          <w:szCs w:val="28"/>
        </w:rPr>
        <w:t>первичных средств пожаротушения и</w:t>
      </w:r>
      <w:r w:rsidR="008961FE">
        <w:rPr>
          <w:rFonts w:ascii="Times New Roman" w:hAnsi="Times New Roman" w:cs="Times New Roman"/>
          <w:b/>
          <w:sz w:val="28"/>
          <w:szCs w:val="28"/>
        </w:rPr>
        <w:t xml:space="preserve"> противопожарного </w:t>
      </w:r>
      <w:r w:rsidRPr="00C72001">
        <w:rPr>
          <w:rFonts w:ascii="Times New Roman" w:hAnsi="Times New Roman" w:cs="Times New Roman"/>
          <w:b/>
          <w:sz w:val="28"/>
          <w:szCs w:val="28"/>
        </w:rPr>
        <w:t>инвентаря</w:t>
      </w:r>
      <w:r w:rsidR="003F0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01">
        <w:rPr>
          <w:rFonts w:ascii="Times New Roman" w:hAnsi="Times New Roman" w:cs="Times New Roman"/>
          <w:b/>
          <w:sz w:val="28"/>
          <w:szCs w:val="28"/>
        </w:rPr>
        <w:t>для помещений и строений, принадлежащих гражданам</w:t>
      </w:r>
    </w:p>
    <w:p w:rsidR="00C72001" w:rsidRPr="00C72001" w:rsidRDefault="00C72001" w:rsidP="00C72001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3021"/>
        <w:gridCol w:w="1368"/>
        <w:gridCol w:w="1222"/>
        <w:gridCol w:w="1140"/>
        <w:gridCol w:w="1140"/>
        <w:gridCol w:w="532"/>
        <w:gridCol w:w="532"/>
        <w:gridCol w:w="532"/>
      </w:tblGrid>
      <w:tr w:rsidR="00C72001" w:rsidRPr="00C72001" w:rsidTr="00BE2EC1">
        <w:trPr>
          <w:trHeight w:val="4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1" w:rsidRPr="00C72001" w:rsidRDefault="00C72001" w:rsidP="00C72001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1" w:rsidRPr="00C72001" w:rsidRDefault="00C72001" w:rsidP="00C72001">
            <w:pPr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01" w:rsidRPr="00C72001" w:rsidRDefault="00C72001" w:rsidP="00C7200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зданий и помещений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2001" w:rsidRPr="00C72001" w:rsidRDefault="00C72001" w:rsidP="00C72001">
            <w:pPr>
              <w:spacing w:line="20" w:lineRule="atLeast"/>
              <w:ind w:left="-20" w:right="-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Защищаемая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ind w:left="-20" w:right="-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первичных средств, 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</w:tc>
      </w:tr>
      <w:tr w:rsidR="00C72001" w:rsidRPr="00C72001" w:rsidTr="00BE2EC1">
        <w:trPr>
          <w:cantSplit/>
          <w:trHeight w:val="113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01" w:rsidRPr="00C72001" w:rsidRDefault="00C72001" w:rsidP="00C72001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01" w:rsidRPr="00C72001" w:rsidRDefault="00C72001" w:rsidP="00C72001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01" w:rsidRPr="00C72001" w:rsidRDefault="00C72001" w:rsidP="00C72001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1" w:rsidRPr="00C72001" w:rsidRDefault="00C72001" w:rsidP="00BE2EC1">
            <w:pPr>
              <w:spacing w:line="20" w:lineRule="atLeast"/>
              <w:ind w:left="-8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1" w:rsidRPr="00C72001" w:rsidRDefault="00C72001" w:rsidP="00C72001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Ящик с песком, лопата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1" w:rsidRPr="00C72001" w:rsidRDefault="00C72001" w:rsidP="00C72001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Бочка с водой, ведро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C72001" w:rsidRPr="00C72001" w:rsidRDefault="00C72001" w:rsidP="00C72001">
            <w:pPr>
              <w:widowControl w:val="0"/>
              <w:tabs>
                <w:tab w:val="left" w:pos="1863"/>
              </w:tabs>
              <w:snapToGrid w:val="0"/>
              <w:spacing w:line="20" w:lineRule="atLeast"/>
              <w:ind w:left="1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C72001" w:rsidRPr="00C72001" w:rsidRDefault="00C72001" w:rsidP="00C72001">
            <w:pPr>
              <w:widowControl w:val="0"/>
              <w:tabs>
                <w:tab w:val="left" w:pos="1863"/>
              </w:tabs>
              <w:snapToGrid w:val="0"/>
              <w:spacing w:line="20" w:lineRule="atLeast"/>
              <w:ind w:left="1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2001" w:rsidRPr="00C72001" w:rsidRDefault="00C72001" w:rsidP="00C72001">
            <w:pPr>
              <w:widowControl w:val="0"/>
              <w:tabs>
                <w:tab w:val="left" w:pos="1863"/>
              </w:tabs>
              <w:snapToGrid w:val="0"/>
              <w:spacing w:line="20" w:lineRule="atLeast"/>
              <w:ind w:left="11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</w:tr>
      <w:tr w:rsidR="00C72001" w:rsidRPr="00C72001" w:rsidTr="00BE2EC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Жилые дома для постоянного проживания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001" w:rsidRPr="00C72001" w:rsidTr="00BE2EC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сезонного проживания людей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01" w:rsidRPr="00C72001" w:rsidTr="00BE2EC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001" w:rsidRPr="00C72001" w:rsidTr="00BE2EC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01" w:rsidRPr="00C72001" w:rsidRDefault="00C72001" w:rsidP="00BE2EC1">
            <w:pPr>
              <w:widowControl w:val="0"/>
              <w:snapToGrid w:val="0"/>
              <w:spacing w:line="20" w:lineRule="atLeast"/>
              <w:ind w:left="-69" w:right="-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Сараи, бани, хозяйственные постройки, гаражные кооперативы и товарищества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ind w:left="-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2001" w:rsidRPr="00C72001" w:rsidRDefault="00C72001" w:rsidP="00C72001">
            <w:pPr>
              <w:widowControl w:val="0"/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2001" w:rsidRPr="00C72001" w:rsidRDefault="00C72001" w:rsidP="00C72001">
      <w:pPr>
        <w:spacing w:line="20" w:lineRule="atLeast"/>
        <w:ind w:firstLine="57"/>
        <w:contextualSpacing/>
        <w:rPr>
          <w:rFonts w:ascii="Times New Roman" w:hAnsi="Times New Roman" w:cs="Times New Roman"/>
          <w:sz w:val="28"/>
          <w:szCs w:val="28"/>
        </w:rPr>
      </w:pPr>
      <w:r w:rsidRPr="00C72001">
        <w:rPr>
          <w:rFonts w:ascii="Times New Roman" w:hAnsi="Times New Roman" w:cs="Times New Roman"/>
          <w:b/>
          <w:sz w:val="36"/>
          <w:szCs w:val="36"/>
        </w:rPr>
        <w:t>*</w:t>
      </w:r>
      <w:r w:rsidRPr="00C72001">
        <w:rPr>
          <w:rFonts w:ascii="Times New Roman" w:hAnsi="Times New Roman" w:cs="Times New Roman"/>
          <w:sz w:val="28"/>
          <w:szCs w:val="28"/>
        </w:rPr>
        <w:t xml:space="preserve"> Устанавливаются в период проживания (в весенне-летний период).</w:t>
      </w:r>
    </w:p>
    <w:p w:rsidR="00C72001" w:rsidRPr="00C72001" w:rsidRDefault="00C72001" w:rsidP="00C72001">
      <w:pPr>
        <w:spacing w:line="2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72001">
        <w:rPr>
          <w:rFonts w:ascii="Times New Roman" w:hAnsi="Times New Roman" w:cs="Times New Roman"/>
          <w:sz w:val="28"/>
          <w:szCs w:val="28"/>
        </w:rPr>
        <w:t xml:space="preserve">Ящик с песком - объём не менее </w:t>
      </w:r>
      <w:smartTag w:uri="urn:schemas-microsoft-com:office:smarttags" w:element="metricconverter">
        <w:smartTagPr>
          <w:attr w:name="ProductID" w:val="0,5 куб. м"/>
        </w:smartTagPr>
        <w:r w:rsidRPr="00C72001">
          <w:rPr>
            <w:rFonts w:ascii="Times New Roman" w:hAnsi="Times New Roman" w:cs="Times New Roman"/>
            <w:sz w:val="28"/>
            <w:szCs w:val="28"/>
          </w:rPr>
          <w:t xml:space="preserve">0,5 куб. </w:t>
        </w:r>
        <w:proofErr w:type="gramStart"/>
        <w:r w:rsidRPr="00C72001">
          <w:rPr>
            <w:rFonts w:ascii="Times New Roman" w:hAnsi="Times New Roman" w:cs="Times New Roman"/>
            <w:sz w:val="28"/>
            <w:szCs w:val="28"/>
          </w:rPr>
          <w:t>м</w:t>
        </w:r>
      </w:smartTag>
      <w:proofErr w:type="gramEnd"/>
      <w:r w:rsidRPr="00C72001">
        <w:rPr>
          <w:rFonts w:ascii="Times New Roman" w:hAnsi="Times New Roman" w:cs="Times New Roman"/>
          <w:sz w:val="28"/>
          <w:szCs w:val="28"/>
        </w:rPr>
        <w:t>.</w:t>
      </w:r>
    </w:p>
    <w:p w:rsidR="00C72001" w:rsidRPr="00C72001" w:rsidRDefault="00C72001" w:rsidP="00C72001">
      <w:pPr>
        <w:spacing w:line="2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72001">
        <w:rPr>
          <w:rFonts w:ascii="Times New Roman" w:hAnsi="Times New Roman" w:cs="Times New Roman"/>
          <w:sz w:val="28"/>
          <w:szCs w:val="28"/>
        </w:rPr>
        <w:t xml:space="preserve">Бочка с водой - объём не менее </w:t>
      </w:r>
      <w:smartTag w:uri="urn:schemas-microsoft-com:office:smarttags" w:element="metricconverter">
        <w:smartTagPr>
          <w:attr w:name="ProductID" w:val="0,2 куб. м"/>
        </w:smartTagPr>
        <w:r w:rsidRPr="00C72001">
          <w:rPr>
            <w:rFonts w:ascii="Times New Roman" w:hAnsi="Times New Roman" w:cs="Times New Roman"/>
            <w:sz w:val="28"/>
            <w:szCs w:val="28"/>
          </w:rPr>
          <w:t xml:space="preserve">0,2 куб. </w:t>
        </w:r>
        <w:proofErr w:type="gramStart"/>
        <w:r w:rsidRPr="00C72001">
          <w:rPr>
            <w:rFonts w:ascii="Times New Roman" w:hAnsi="Times New Roman" w:cs="Times New Roman"/>
            <w:sz w:val="28"/>
            <w:szCs w:val="28"/>
          </w:rPr>
          <w:t>м</w:t>
        </w:r>
      </w:smartTag>
      <w:proofErr w:type="gramEnd"/>
      <w:r w:rsidRPr="00C72001">
        <w:rPr>
          <w:rFonts w:ascii="Times New Roman" w:hAnsi="Times New Roman" w:cs="Times New Roman"/>
          <w:sz w:val="28"/>
          <w:szCs w:val="28"/>
        </w:rPr>
        <w:t>.</w:t>
      </w:r>
    </w:p>
    <w:p w:rsidR="00C72001" w:rsidRPr="00C72001" w:rsidRDefault="00C72001" w:rsidP="00C72001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001">
        <w:rPr>
          <w:rFonts w:ascii="Times New Roman" w:hAnsi="Times New Roman" w:cs="Times New Roman"/>
          <w:sz w:val="28"/>
          <w:szCs w:val="28"/>
        </w:rPr>
        <w:t xml:space="preserve">Территории застройки индивидуальными жилыми домами должны быть обеспечены противопожарным водоснабжением. При отсутствии наружных сетей водопроводных сетей противопожарного водоснабжения, используются естественные </w:t>
      </w:r>
      <w:proofErr w:type="spellStart"/>
      <w:r w:rsidRPr="00C72001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C72001">
        <w:rPr>
          <w:rFonts w:ascii="Times New Roman" w:hAnsi="Times New Roman" w:cs="Times New Roman"/>
          <w:sz w:val="28"/>
          <w:szCs w:val="28"/>
        </w:rPr>
        <w:t xml:space="preserve"> или устраиваются пожарные водоемы. Водоемы принимаются по расчету, но не менее 2-х, при радиусе их использования для пожаротушения 100-</w:t>
      </w:r>
      <w:smartTag w:uri="urn:schemas-microsoft-com:office:smarttags" w:element="metricconverter">
        <w:smartTagPr>
          <w:attr w:name="ProductID" w:val="200 м"/>
        </w:smartTagPr>
        <w:r w:rsidRPr="00C72001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C72001">
        <w:rPr>
          <w:rFonts w:ascii="Times New Roman" w:hAnsi="Times New Roman" w:cs="Times New Roman"/>
          <w:sz w:val="28"/>
          <w:szCs w:val="28"/>
        </w:rPr>
        <w:t xml:space="preserve"> (в зависимости от наличия </w:t>
      </w:r>
      <w:proofErr w:type="spellStart"/>
      <w:r w:rsidRPr="00C72001"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 w:rsidRPr="00C72001">
        <w:rPr>
          <w:rFonts w:ascii="Times New Roman" w:hAnsi="Times New Roman" w:cs="Times New Roman"/>
          <w:sz w:val="28"/>
          <w:szCs w:val="28"/>
        </w:rPr>
        <w:t xml:space="preserve"> и пожарных насосов). Объём водоемов следует определять исходя из расчетных расходов и продолжительности тушения пожаров, при этом в каждом водоеме должно храниться 50% объема воды на пожаротушение.</w:t>
      </w:r>
    </w:p>
    <w:p w:rsidR="00C72001" w:rsidRPr="00C72001" w:rsidRDefault="00C72001" w:rsidP="00C72001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001">
        <w:rPr>
          <w:rFonts w:ascii="Times New Roman" w:hAnsi="Times New Roman" w:cs="Times New Roman"/>
          <w:sz w:val="28"/>
          <w:szCs w:val="28"/>
        </w:rPr>
        <w:lastRenderedPageBreak/>
        <w:t>Пожарные водоемы следует устраивать не для отдельно стоящих домов, а на группу зданий.</w:t>
      </w:r>
    </w:p>
    <w:p w:rsidR="00C72001" w:rsidRPr="00C72001" w:rsidRDefault="00C72001" w:rsidP="00C72001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001">
        <w:rPr>
          <w:rFonts w:ascii="Times New Roman" w:hAnsi="Times New Roman" w:cs="Times New Roman"/>
          <w:sz w:val="28"/>
          <w:szCs w:val="28"/>
        </w:rPr>
        <w:t>У каждого жилого строения рекомендуется устанавливать емкость (бочку) с водой или иметь в наличии огнетушитель.</w:t>
      </w:r>
    </w:p>
    <w:p w:rsidR="00C72001" w:rsidRPr="00C72001" w:rsidRDefault="00C72001" w:rsidP="00C72001">
      <w:pPr>
        <w:pStyle w:val="ConsNormal"/>
        <w:widowControl/>
        <w:spacing w:line="2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2001" w:rsidRPr="00C72001" w:rsidRDefault="00C72001" w:rsidP="00C72001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Pr="00C72001" w:rsidRDefault="00C72001" w:rsidP="00C72001">
      <w:pPr>
        <w:tabs>
          <w:tab w:val="num" w:pos="216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63469F" w:rsidRDefault="0063469F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63469F" w:rsidRDefault="0063469F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63469F" w:rsidRDefault="0063469F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63469F" w:rsidRDefault="0063469F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3F0FBD" w:rsidRPr="0014400E" w:rsidRDefault="003F0FBD" w:rsidP="003F0FBD">
      <w:pPr>
        <w:pStyle w:val="consplustitle"/>
        <w:ind w:left="5041"/>
        <w:contextualSpacing/>
        <w:jc w:val="center"/>
        <w:rPr>
          <w:sz w:val="28"/>
          <w:szCs w:val="28"/>
        </w:rPr>
      </w:pPr>
      <w:r w:rsidRPr="001440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3F0FBD" w:rsidRDefault="003F0FBD" w:rsidP="003F0FBD">
      <w:pPr>
        <w:pStyle w:val="consplustitle"/>
        <w:ind w:left="5041"/>
        <w:contextualSpacing/>
        <w:jc w:val="both"/>
        <w:rPr>
          <w:sz w:val="28"/>
          <w:szCs w:val="28"/>
        </w:rPr>
      </w:pPr>
      <w:r w:rsidRPr="0014400E">
        <w:rPr>
          <w:sz w:val="28"/>
          <w:szCs w:val="28"/>
        </w:rPr>
        <w:t xml:space="preserve">к постановлению Администрации    Екимовичского сельского поселения Рославльского района Смоленской области </w:t>
      </w:r>
    </w:p>
    <w:p w:rsidR="003F0FBD" w:rsidRPr="0014400E" w:rsidRDefault="003F0FBD" w:rsidP="003F0FBD">
      <w:pPr>
        <w:pStyle w:val="consplustitle"/>
        <w:ind w:left="5041"/>
        <w:contextualSpacing/>
        <w:jc w:val="both"/>
        <w:rPr>
          <w:sz w:val="28"/>
          <w:szCs w:val="28"/>
        </w:rPr>
      </w:pPr>
      <w:r w:rsidRPr="0014400E">
        <w:rPr>
          <w:sz w:val="28"/>
          <w:szCs w:val="28"/>
        </w:rPr>
        <w:t xml:space="preserve">от </w:t>
      </w:r>
      <w:r w:rsidR="00A24CA1">
        <w:rPr>
          <w:sz w:val="28"/>
          <w:szCs w:val="28"/>
        </w:rPr>
        <w:t>03</w:t>
      </w:r>
      <w:r w:rsidRPr="0014400E">
        <w:rPr>
          <w:sz w:val="28"/>
          <w:szCs w:val="28"/>
        </w:rPr>
        <w:t>.0</w:t>
      </w:r>
      <w:r w:rsidR="00A24CA1">
        <w:rPr>
          <w:sz w:val="28"/>
          <w:szCs w:val="28"/>
        </w:rPr>
        <w:t>3.2020</w:t>
      </w:r>
      <w:r w:rsidRPr="0014400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14400E">
        <w:rPr>
          <w:sz w:val="28"/>
          <w:szCs w:val="28"/>
        </w:rPr>
        <w:t xml:space="preserve">№ </w:t>
      </w:r>
      <w:r w:rsidR="00A24CA1">
        <w:rPr>
          <w:sz w:val="28"/>
          <w:szCs w:val="28"/>
        </w:rPr>
        <w:t>3</w:t>
      </w:r>
      <w:r w:rsidR="002E316F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</w:p>
    <w:p w:rsidR="003F0FBD" w:rsidRDefault="003F0FBD" w:rsidP="003F0F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BD" w:rsidRPr="003F0FBD" w:rsidRDefault="003F0FBD" w:rsidP="003F0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B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F0FBD" w:rsidRDefault="003F0FBD" w:rsidP="003F0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BD">
        <w:rPr>
          <w:rFonts w:ascii="Times New Roman" w:hAnsi="Times New Roman" w:cs="Times New Roman"/>
          <w:b/>
          <w:sz w:val="28"/>
          <w:szCs w:val="28"/>
        </w:rPr>
        <w:t>первичных средств пожаротушения в местах общественного пользования населенных пунктов.</w:t>
      </w:r>
    </w:p>
    <w:p w:rsidR="003F0FBD" w:rsidRPr="003F0FBD" w:rsidRDefault="003F0FBD" w:rsidP="003F0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4729"/>
        <w:gridCol w:w="4258"/>
        <w:gridCol w:w="100"/>
      </w:tblGrid>
      <w:tr w:rsidR="003F0FBD" w:rsidRPr="003F0FBD" w:rsidTr="009779B4">
        <w:trPr>
          <w:trHeight w:val="360"/>
          <w:tblCellSpacing w:w="0" w:type="dxa"/>
          <w:jc w:val="center"/>
        </w:trPr>
        <w:tc>
          <w:tcPr>
            <w:tcW w:w="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054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FBD" w:rsidRPr="003F0FBD" w:rsidTr="009779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FBD" w:rsidRPr="003F0FBD" w:rsidTr="009779B4">
        <w:trPr>
          <w:trHeight w:val="360"/>
          <w:tblCellSpacing w:w="0" w:type="dxa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FBD" w:rsidRPr="003F0FBD" w:rsidTr="009779B4">
        <w:trPr>
          <w:trHeight w:val="360"/>
          <w:tblCellSpacing w:w="0" w:type="dxa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FBD" w:rsidRPr="003F0FBD" w:rsidTr="009779B4">
        <w:trPr>
          <w:trHeight w:val="360"/>
          <w:tblCellSpacing w:w="0" w:type="dxa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FBD" w:rsidRPr="003F0FBD" w:rsidTr="009779B4">
        <w:trPr>
          <w:trHeight w:val="240"/>
          <w:tblCellSpacing w:w="0" w:type="dxa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 х</w:t>
            </w:r>
            <w:proofErr w:type="gramStart"/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0FBD" w:rsidRPr="003F0FBD" w:rsidTr="009779B4">
        <w:trPr>
          <w:trHeight w:val="360"/>
          <w:tblCellSpacing w:w="0" w:type="dxa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BD" w:rsidRPr="003F0FBD" w:rsidRDefault="003F0FBD" w:rsidP="0008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BD" w:rsidRPr="003F0FBD" w:rsidRDefault="003F0FBD" w:rsidP="0008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F0FBD" w:rsidRPr="00E054E4" w:rsidRDefault="003F0FBD" w:rsidP="003F0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3F0FBD" w:rsidRPr="003F0FBD" w:rsidRDefault="003F0FBD" w:rsidP="003F0F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FBD">
        <w:rPr>
          <w:rFonts w:ascii="Times New Roman" w:eastAsia="Times New Roman" w:hAnsi="Times New Roman" w:cs="Times New Roman"/>
          <w:sz w:val="28"/>
          <w:szCs w:val="28"/>
        </w:rPr>
        <w:t xml:space="preserve">Примечание: 1. Пожарные щиты указанной комплектации устанавливаются из расчета по одному в каждом сельском населенном пункте муниципального образования </w:t>
      </w:r>
      <w:r w:rsidR="00E054E4" w:rsidRPr="00E054E4">
        <w:rPr>
          <w:rFonts w:ascii="Times New Roman" w:eastAsia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C72001" w:rsidRPr="00E054E4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C72001" w:rsidRDefault="00C72001" w:rsidP="00C72001">
      <w:pPr>
        <w:tabs>
          <w:tab w:val="num" w:pos="2160"/>
        </w:tabs>
        <w:jc w:val="both"/>
        <w:rPr>
          <w:sz w:val="28"/>
          <w:szCs w:val="28"/>
        </w:rPr>
      </w:pPr>
    </w:p>
    <w:p w:rsidR="001F757F" w:rsidRPr="003E2AB0" w:rsidRDefault="001F757F" w:rsidP="003E2AB0">
      <w:pPr>
        <w:spacing w:line="20" w:lineRule="atLeast"/>
        <w:contextualSpacing/>
        <w:rPr>
          <w:rFonts w:ascii="Times New Roman" w:hAnsi="Times New Roman" w:cs="Times New Roman"/>
        </w:rPr>
      </w:pPr>
    </w:p>
    <w:sectPr w:rsidR="001F757F" w:rsidRPr="003E2AB0" w:rsidSect="00AB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B0"/>
    <w:rsid w:val="001F757F"/>
    <w:rsid w:val="002A4659"/>
    <w:rsid w:val="002B5059"/>
    <w:rsid w:val="002E316F"/>
    <w:rsid w:val="00392DEF"/>
    <w:rsid w:val="003D7E90"/>
    <w:rsid w:val="003E2AB0"/>
    <w:rsid w:val="003F0FBD"/>
    <w:rsid w:val="00426E3C"/>
    <w:rsid w:val="00452218"/>
    <w:rsid w:val="00536491"/>
    <w:rsid w:val="005A7489"/>
    <w:rsid w:val="0063469F"/>
    <w:rsid w:val="008961FE"/>
    <w:rsid w:val="009779B4"/>
    <w:rsid w:val="00A0759E"/>
    <w:rsid w:val="00A1217E"/>
    <w:rsid w:val="00A24CA1"/>
    <w:rsid w:val="00AB7AAE"/>
    <w:rsid w:val="00B20573"/>
    <w:rsid w:val="00BE2EC1"/>
    <w:rsid w:val="00C72001"/>
    <w:rsid w:val="00E054E4"/>
    <w:rsid w:val="00EE4A0D"/>
    <w:rsid w:val="00F0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2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BE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0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0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7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CEB8-7FF8-401C-8715-85717952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20</cp:revision>
  <cp:lastPrinted>2020-03-04T10:17:00Z</cp:lastPrinted>
  <dcterms:created xsi:type="dcterms:W3CDTF">2017-05-11T06:54:00Z</dcterms:created>
  <dcterms:modified xsi:type="dcterms:W3CDTF">2020-03-04T10:22:00Z</dcterms:modified>
</cp:coreProperties>
</file>